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8F" w:rsidRDefault="00A73E8F" w:rsidP="00A73E8F">
      <w:pPr>
        <w:spacing w:after="0" w:line="240" w:lineRule="auto"/>
        <w:ind w:left="-851" w:firstLine="284"/>
        <w:jc w:val="center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  <w:r w:rsidRPr="00A73E8F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Уважаемые родители (законные представители), ознакомьтесь с информацией </w:t>
      </w:r>
      <w:r w:rsidR="00E84357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о препарате БИОЛЕК Туберкулин ППД-Л</w:t>
      </w:r>
      <w:r w:rsidRPr="00A73E8F">
        <w:rPr>
          <w:rFonts w:ascii="PT Astra Serif" w:hAnsi="PT Astra Serif" w:cs="Arial"/>
          <w:b/>
          <w:color w:val="333333"/>
          <w:sz w:val="24"/>
          <w:szCs w:val="24"/>
        </w:rPr>
        <w:t xml:space="preserve"> для проведения пробы Манту</w:t>
      </w:r>
      <w:r w:rsidRPr="00A73E8F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!</w:t>
      </w:r>
    </w:p>
    <w:p w:rsidR="00E84357" w:rsidRDefault="00E84357" w:rsidP="00A73E8F">
      <w:pPr>
        <w:spacing w:after="0" w:line="240" w:lineRule="auto"/>
        <w:ind w:left="-851" w:firstLine="284"/>
        <w:jc w:val="center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</w:p>
    <w:p w:rsidR="00E84357" w:rsidRPr="00A73E8F" w:rsidRDefault="00E84357" w:rsidP="00A73E8F">
      <w:pPr>
        <w:spacing w:after="0" w:line="240" w:lineRule="auto"/>
        <w:ind w:left="-851" w:firstLine="284"/>
        <w:jc w:val="center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БИОЛЕК Туберкулин ППД-Л</w:t>
      </w:r>
    </w:p>
    <w:p w:rsidR="00A73E8F" w:rsidRDefault="00A73E8F" w:rsidP="00A73E8F">
      <w:pPr>
        <w:spacing w:after="0" w:line="240" w:lineRule="auto"/>
        <w:ind w:left="-1134" w:firstLine="567"/>
        <w:rPr>
          <w:rFonts w:ascii="PT Astra Serif" w:eastAsia="Times New Roman" w:hAnsi="PT Astra Serif" w:cs="Arial"/>
          <w:b/>
          <w:bCs/>
          <w:color w:val="2E3F51"/>
          <w:sz w:val="23"/>
        </w:rPr>
      </w:pPr>
    </w:p>
    <w:p w:rsidR="003B468B" w:rsidRPr="003B468B" w:rsidRDefault="00E84357" w:rsidP="003B468B">
      <w:pPr>
        <w:pStyle w:val="1"/>
        <w:shd w:val="clear" w:color="auto" w:fill="FFFFFF"/>
        <w:spacing w:before="0" w:line="240" w:lineRule="auto"/>
        <w:ind w:left="-851"/>
        <w:jc w:val="center"/>
        <w:rPr>
          <w:rFonts w:ascii="PT Astra Serif" w:eastAsia="Times New Roman" w:hAnsi="PT Astra Serif" w:cs="Arial"/>
          <w:b w:val="0"/>
          <w:bCs w:val="0"/>
          <w:color w:val="333333"/>
          <w:sz w:val="20"/>
          <w:szCs w:val="20"/>
        </w:rPr>
      </w:pPr>
      <w:r>
        <w:rPr>
          <w:rFonts w:ascii="PT Astra Serif" w:hAnsi="PT Astra Serif" w:cs="Arial"/>
          <w:color w:val="333333"/>
          <w:sz w:val="20"/>
          <w:szCs w:val="20"/>
        </w:rPr>
        <w:t xml:space="preserve"> 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Фармакологическая группа</w:t>
      </w:r>
    </w:p>
    <w:p w:rsidR="0033629B" w:rsidRPr="0033629B" w:rsidRDefault="00AE1977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sz w:val="20"/>
          <w:szCs w:val="20"/>
        </w:rPr>
      </w:pPr>
      <w:hyperlink r:id="rId4" w:history="1">
        <w:proofErr w:type="spellStart"/>
        <w:r w:rsidR="00E84357">
          <w:rPr>
            <w:rFonts w:ascii="PT Astra Serif" w:eastAsia="Times New Roman" w:hAnsi="PT Astra Serif" w:cs="Arial"/>
            <w:sz w:val="20"/>
            <w:szCs w:val="20"/>
          </w:rPr>
          <w:t>МИБП-аллерген</w:t>
        </w:r>
        <w:proofErr w:type="spellEnd"/>
      </w:hyperlink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Показания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Препарат предназначен для </w:t>
      </w:r>
      <w:proofErr w:type="gram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массовой</w:t>
      </w:r>
      <w:proofErr w:type="gram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</w:t>
      </w:r>
      <w:proofErr w:type="spell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туберкулинодиагностики</w:t>
      </w:r>
      <w:proofErr w:type="spell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: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а)      отбор лиц для ревакцинации БЦЖ, а также перед первичной вакцинацией детей в возрасте 2 месяца и более;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б)      диагностика туберкулеза, в том числе для раннего выявления начальных и локальных форм туберкулеза у детей и подростков;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в)      определение инфицирования микобактериями туберкулеза.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Противопоказания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proofErr w:type="gram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Распространенные кожные заболевания, эпилепсия, острые, хронические инфекционные и соматические заболевания в период обострения; аллергические состояния (ревматизм в острой и </w:t>
      </w:r>
      <w:proofErr w:type="spell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подострой</w:t>
      </w:r>
      <w:proofErr w:type="spell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фазах, бронхиальная астма, идиосинкразии с выраженными кожными проявлениями в период обострения).</w:t>
      </w:r>
      <w:proofErr w:type="gram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Проба Манту ставится через 1 месяц после исчезновения всех клинических симптомов или сразу после снятия карантина. Не допускается проведение пробы Манту в тех детских коллективах, где имеется карантин по детским инфекциям. Не допускается проведение пробы Манту в период менее 1 месяца после проведения профилактической прививки.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С целью выявления противопоказаний врач (медицинская сестра) в день постановки туберкулиновых проб проводят опрос и осмотр лиц, подлежащих пробе.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Побочные действия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Иногда отмечается недомогание, головная боль, повышение температуры тела. У отдельных лиц, с высокой степенью </w:t>
      </w:r>
      <w:r w:rsidR="00662234">
        <w:rPr>
          <w:rFonts w:ascii="PT Astra Serif" w:eastAsia="Times New Roman" w:hAnsi="PT Astra Serif" w:cs="Arial"/>
          <w:color w:val="333333"/>
          <w:sz w:val="20"/>
          <w:szCs w:val="20"/>
        </w:rPr>
        <w:t>гиперчувствительности замедленного типа</w:t>
      </w: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к туберкулину, местная реакция может сопровождаться лимфаденитом.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Меры предосторожности</w:t>
      </w:r>
    </w:p>
    <w:p w:rsid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Профилактические прививки могут повлиять на чувствительность к туберкулину. Исходя из этого, </w:t>
      </w:r>
      <w:proofErr w:type="spell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туберкулинодиагностику</w:t>
      </w:r>
      <w:proofErr w:type="spell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необходимо планировать до проведения профилактических прививок против различных инфекций. В случае</w:t>
      </w:r>
      <w:proofErr w:type="gram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,</w:t>
      </w:r>
      <w:proofErr w:type="gram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если профилактическая прививка была проведена, то </w:t>
      </w:r>
      <w:proofErr w:type="spell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туберкулинодиагностика</w:t>
      </w:r>
      <w:proofErr w:type="spell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должна осуществляться не ранее, чем через 1 месяц после прививки.</w:t>
      </w:r>
    </w:p>
    <w:p w:rsidR="00ED38D4" w:rsidRDefault="00ED38D4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</w:p>
    <w:p w:rsidR="00282C5F" w:rsidRDefault="00282C5F" w:rsidP="00282C5F">
      <w:pPr>
        <w:spacing w:before="75" w:after="75" w:line="240" w:lineRule="auto"/>
        <w:ind w:left="-851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  <w:r w:rsidRPr="0092383A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Производитель:</w:t>
      </w:r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 </w:t>
      </w:r>
      <w:r w:rsidRPr="00E84357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ЗАО «ЛЕККО», Россия</w:t>
      </w:r>
    </w:p>
    <w:p w:rsidR="0068663E" w:rsidRDefault="0068663E" w:rsidP="00282C5F">
      <w:pPr>
        <w:spacing w:before="75" w:after="75" w:line="240" w:lineRule="auto"/>
        <w:ind w:left="-851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</w:p>
    <w:p w:rsidR="0068663E" w:rsidRPr="00467F38" w:rsidRDefault="0068663E" w:rsidP="0068663E">
      <w:pPr>
        <w:pStyle w:val="a6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rFonts w:ascii="PT Astra Serif" w:hAnsi="PT Astra Serif"/>
        </w:rPr>
      </w:pPr>
      <w:r w:rsidRPr="00467F38">
        <w:rPr>
          <w:rFonts w:ascii="PT Astra Serif" w:hAnsi="PT Astra Serif"/>
          <w:highlight w:val="yellow"/>
        </w:rPr>
        <w:t xml:space="preserve">По всем возникающим вопросам о </w:t>
      </w:r>
      <w:r>
        <w:rPr>
          <w:rFonts w:ascii="PT Astra Serif" w:hAnsi="PT Astra Serif"/>
          <w:highlight w:val="yellow"/>
        </w:rPr>
        <w:t xml:space="preserve"> проведении </w:t>
      </w:r>
      <w:r w:rsidR="00E92F7C">
        <w:rPr>
          <w:rFonts w:ascii="PT Astra Serif" w:hAnsi="PT Astra Serif"/>
          <w:highlight w:val="yellow"/>
        </w:rPr>
        <w:t>иммуно</w:t>
      </w:r>
      <w:r>
        <w:rPr>
          <w:rFonts w:ascii="PT Astra Serif" w:hAnsi="PT Astra Serif"/>
          <w:highlight w:val="yellow"/>
        </w:rPr>
        <w:t>диагностики туберкулеза</w:t>
      </w:r>
      <w:r w:rsidR="00B52325">
        <w:rPr>
          <w:rFonts w:ascii="PT Astra Serif" w:hAnsi="PT Astra Serif"/>
          <w:highlight w:val="yellow"/>
        </w:rPr>
        <w:t xml:space="preserve">, </w:t>
      </w:r>
      <w:r>
        <w:rPr>
          <w:rFonts w:ascii="PT Astra Serif" w:hAnsi="PT Astra Serif"/>
          <w:highlight w:val="yellow"/>
        </w:rPr>
        <w:t>нежелательных</w:t>
      </w:r>
      <w:r w:rsidRPr="00467F38">
        <w:rPr>
          <w:rFonts w:ascii="PT Astra Serif" w:hAnsi="PT Astra Serif"/>
          <w:highlight w:val="yellow"/>
          <w:shd w:val="clear" w:color="auto" w:fill="FFFFFF"/>
        </w:rPr>
        <w:t xml:space="preserve"> реакциях и осложнениях, а также последствиях отказа от проведения </w:t>
      </w:r>
      <w:proofErr w:type="spellStart"/>
      <w:r>
        <w:rPr>
          <w:rFonts w:ascii="PT Astra Serif" w:hAnsi="PT Astra Serif"/>
          <w:highlight w:val="yellow"/>
          <w:shd w:val="clear" w:color="auto" w:fill="FFFFFF"/>
        </w:rPr>
        <w:t>туберкулинодиагностики</w:t>
      </w:r>
      <w:proofErr w:type="spellEnd"/>
      <w:r w:rsidRPr="00467F38">
        <w:rPr>
          <w:rFonts w:ascii="PT Astra Serif" w:hAnsi="PT Astra Serif"/>
          <w:highlight w:val="yellow"/>
          <w:shd w:val="clear" w:color="auto" w:fill="FFFFFF"/>
        </w:rPr>
        <w:t xml:space="preserve"> </w:t>
      </w:r>
      <w:r w:rsidRPr="00467F38">
        <w:rPr>
          <w:rFonts w:ascii="PT Astra Serif" w:hAnsi="PT Astra Serif"/>
          <w:highlight w:val="yellow"/>
        </w:rPr>
        <w:t xml:space="preserve">Вы можете получить информацию </w:t>
      </w:r>
      <w:r w:rsidRPr="00467F38">
        <w:rPr>
          <w:rFonts w:ascii="PT Astra Serif" w:hAnsi="PT Astra Serif"/>
          <w:b/>
          <w:highlight w:val="yellow"/>
        </w:rPr>
        <w:t>у  медицинского работника образовательного учреждения</w:t>
      </w:r>
      <w:r>
        <w:rPr>
          <w:rFonts w:ascii="PT Astra Serif" w:hAnsi="PT Astra Serif"/>
          <w:b/>
        </w:rPr>
        <w:t>.</w:t>
      </w:r>
    </w:p>
    <w:p w:rsidR="0068663E" w:rsidRDefault="0068663E" w:rsidP="00282C5F">
      <w:pPr>
        <w:spacing w:before="75" w:after="75" w:line="240" w:lineRule="auto"/>
        <w:ind w:left="-851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</w:p>
    <w:p w:rsidR="00282C5F" w:rsidRDefault="00282C5F" w:rsidP="00282C5F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</w:p>
    <w:p w:rsidR="00282C5F" w:rsidRDefault="00282C5F" w:rsidP="00282C5F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</w:p>
    <w:p w:rsidR="00282C5F" w:rsidRPr="00BA1445" w:rsidRDefault="00282C5F" w:rsidP="00282C5F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>С памяткой ознакомлен:</w:t>
      </w:r>
      <w:r>
        <w:rPr>
          <w:rFonts w:ascii="PT Astra Serif" w:hAnsi="PT Astra Serif"/>
          <w:sz w:val="20"/>
          <w:szCs w:val="20"/>
        </w:rPr>
        <w:t xml:space="preserve"> «_____»______________202</w:t>
      </w:r>
      <w:r w:rsidR="00E76351">
        <w:rPr>
          <w:rFonts w:ascii="PT Astra Serif" w:hAnsi="PT Astra Serif"/>
          <w:sz w:val="20"/>
          <w:szCs w:val="20"/>
        </w:rPr>
        <w:t>4</w:t>
      </w:r>
      <w:r>
        <w:rPr>
          <w:rFonts w:ascii="PT Astra Serif" w:hAnsi="PT Astra Serif"/>
          <w:sz w:val="20"/>
          <w:szCs w:val="20"/>
        </w:rPr>
        <w:t xml:space="preserve"> г      ___ _____________ </w:t>
      </w:r>
      <w:r w:rsidRPr="00BA1445">
        <w:rPr>
          <w:rFonts w:ascii="PT Astra Serif" w:hAnsi="PT Astra Serif"/>
          <w:sz w:val="20"/>
          <w:szCs w:val="20"/>
        </w:rPr>
        <w:t>______</w:t>
      </w:r>
      <w:r>
        <w:rPr>
          <w:rFonts w:ascii="PT Astra Serif" w:hAnsi="PT Astra Serif"/>
          <w:sz w:val="20"/>
          <w:szCs w:val="20"/>
        </w:rPr>
        <w:t>___________    __</w:t>
      </w:r>
      <w:r w:rsidRPr="00BA1445">
        <w:rPr>
          <w:rFonts w:ascii="PT Astra Serif" w:hAnsi="PT Astra Serif"/>
          <w:sz w:val="20"/>
          <w:szCs w:val="20"/>
        </w:rPr>
        <w:t>_____________</w:t>
      </w:r>
    </w:p>
    <w:p w:rsidR="00282C5F" w:rsidRPr="00BA1445" w:rsidRDefault="00282C5F" w:rsidP="00282C5F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 xml:space="preserve">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Дата                                            </w:t>
      </w:r>
      <w:r w:rsidRPr="00BA1445">
        <w:rPr>
          <w:rFonts w:ascii="PT Astra Serif" w:hAnsi="PT Astra Serif"/>
          <w:sz w:val="20"/>
          <w:szCs w:val="20"/>
        </w:rPr>
        <w:t xml:space="preserve">Ф.И.О.  законного представителя            </w:t>
      </w:r>
      <w:r>
        <w:rPr>
          <w:rFonts w:ascii="PT Astra Serif" w:hAnsi="PT Astra Serif"/>
          <w:sz w:val="20"/>
          <w:szCs w:val="20"/>
        </w:rPr>
        <w:t xml:space="preserve">    </w:t>
      </w:r>
      <w:r w:rsidRPr="00BA1445">
        <w:rPr>
          <w:rFonts w:ascii="PT Astra Serif" w:hAnsi="PT Astra Serif"/>
          <w:sz w:val="20"/>
          <w:szCs w:val="20"/>
        </w:rPr>
        <w:t xml:space="preserve"> Подпись</w:t>
      </w:r>
    </w:p>
    <w:p w:rsidR="00282C5F" w:rsidRDefault="00282C5F" w:rsidP="00282C5F">
      <w:pPr>
        <w:spacing w:before="75" w:after="75" w:line="240" w:lineRule="auto"/>
        <w:ind w:hanging="1134"/>
        <w:rPr>
          <w:rFonts w:ascii="PT Astra Serif" w:eastAsia="Times New Roman" w:hAnsi="PT Astra Serif" w:cs="Arial"/>
          <w:color w:val="333333"/>
          <w:sz w:val="24"/>
          <w:szCs w:val="24"/>
        </w:rPr>
      </w:pPr>
    </w:p>
    <w:p w:rsidR="00282C5F" w:rsidRPr="0092383A" w:rsidRDefault="00282C5F" w:rsidP="00282C5F">
      <w:pPr>
        <w:spacing w:before="75" w:after="75" w:line="240" w:lineRule="auto"/>
        <w:ind w:hanging="1134"/>
        <w:rPr>
          <w:rFonts w:ascii="PT Astra Serif" w:eastAsia="Times New Roman" w:hAnsi="PT Astra Serif" w:cs="Arial"/>
          <w:color w:val="333333"/>
          <w:sz w:val="24"/>
          <w:szCs w:val="24"/>
        </w:rPr>
      </w:pPr>
    </w:p>
    <w:p w:rsidR="00282C5F" w:rsidRPr="0033629B" w:rsidRDefault="00282C5F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</w:p>
    <w:sectPr w:rsidR="00282C5F" w:rsidRPr="0033629B" w:rsidSect="003B46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9B"/>
    <w:rsid w:val="0014150C"/>
    <w:rsid w:val="00282C5F"/>
    <w:rsid w:val="0028512B"/>
    <w:rsid w:val="0033629B"/>
    <w:rsid w:val="003B468B"/>
    <w:rsid w:val="005A7B5E"/>
    <w:rsid w:val="005F34B2"/>
    <w:rsid w:val="00662234"/>
    <w:rsid w:val="0068663E"/>
    <w:rsid w:val="006C5295"/>
    <w:rsid w:val="0070173A"/>
    <w:rsid w:val="00A73E8F"/>
    <w:rsid w:val="00AE1977"/>
    <w:rsid w:val="00B52325"/>
    <w:rsid w:val="00DE43BA"/>
    <w:rsid w:val="00E76351"/>
    <w:rsid w:val="00E77676"/>
    <w:rsid w:val="00E84357"/>
    <w:rsid w:val="00E92F7C"/>
    <w:rsid w:val="00ED38D4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2B"/>
  </w:style>
  <w:style w:type="paragraph" w:styleId="1">
    <w:name w:val="heading 1"/>
    <w:basedOn w:val="a"/>
    <w:next w:val="a"/>
    <w:link w:val="10"/>
    <w:uiPriority w:val="9"/>
    <w:qFormat/>
    <w:rsid w:val="003B4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2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3629B"/>
    <w:rPr>
      <w:color w:val="0000FF"/>
      <w:u w:val="single"/>
    </w:rPr>
  </w:style>
  <w:style w:type="paragraph" w:customStyle="1" w:styleId="opispole">
    <w:name w:val="opis_pole"/>
    <w:basedOn w:val="a"/>
    <w:rsid w:val="003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3b9843e">
    <w:name w:val="y23b9843e"/>
    <w:basedOn w:val="a0"/>
    <w:rsid w:val="0033629B"/>
  </w:style>
  <w:style w:type="paragraph" w:styleId="a4">
    <w:name w:val="Balloon Text"/>
    <w:basedOn w:val="a"/>
    <w:link w:val="a5"/>
    <w:uiPriority w:val="99"/>
    <w:semiHidden/>
    <w:unhideWhenUsed/>
    <w:rsid w:val="003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9B"/>
    <w:rPr>
      <w:rFonts w:ascii="Tahoma" w:hAnsi="Tahoma" w:cs="Tahoma"/>
      <w:sz w:val="16"/>
      <w:szCs w:val="16"/>
    </w:rPr>
  </w:style>
  <w:style w:type="paragraph" w:customStyle="1" w:styleId="m-1">
    <w:name w:val="m-1"/>
    <w:basedOn w:val="a"/>
    <w:rsid w:val="003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4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28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6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7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8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5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0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7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60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38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95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23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868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45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22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45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0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34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2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7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21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30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3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69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70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2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9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4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7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1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08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4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2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18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0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9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7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0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9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690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09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79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83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77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25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1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745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36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40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14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0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92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24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53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55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08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26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01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3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60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8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170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48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44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9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98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22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0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49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9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10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1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2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0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44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51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69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39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lsnet.ru/pharm-groups/immunobiologiceskie-diagnosticeskie-sredstva-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2</cp:revision>
  <dcterms:created xsi:type="dcterms:W3CDTF">2023-10-07T06:23:00Z</dcterms:created>
  <dcterms:modified xsi:type="dcterms:W3CDTF">2024-01-25T10:51:00Z</dcterms:modified>
</cp:coreProperties>
</file>