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CE" w:rsidRDefault="006574CE" w:rsidP="005C1295">
      <w:pPr>
        <w:spacing w:after="0" w:line="240" w:lineRule="auto"/>
        <w:ind w:left="-1134"/>
        <w:rPr>
          <w:rFonts w:ascii="PT Astra Serif" w:eastAsia="Times New Roman" w:hAnsi="PT Astra Serif" w:cs="Arial"/>
          <w:b/>
          <w:bCs/>
          <w:color w:val="2E3F51"/>
          <w:sz w:val="23"/>
          <w:lang w:eastAsia="ru-RU"/>
        </w:rPr>
      </w:pPr>
    </w:p>
    <w:p w:rsidR="006574CE" w:rsidRPr="00A73E8F" w:rsidRDefault="006574CE" w:rsidP="006574CE">
      <w:pPr>
        <w:spacing w:after="0" w:line="240" w:lineRule="auto"/>
        <w:ind w:left="-851" w:firstLine="284"/>
        <w:jc w:val="center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  <w:r w:rsidRPr="00A73E8F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Уважаемые родители (законные представители), ознакомьтесь с информацией </w:t>
      </w:r>
      <w:r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о препарате </w:t>
      </w:r>
      <w:proofErr w:type="spellStart"/>
      <w:r w:rsidR="00C73216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Диаскинтест</w:t>
      </w:r>
      <w:proofErr w:type="spellEnd"/>
      <w:r w:rsidR="00C73216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, который используется для диагностики туберкулеза</w:t>
      </w:r>
      <w:r w:rsidRPr="00A73E8F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!</w:t>
      </w:r>
    </w:p>
    <w:p w:rsidR="006574CE" w:rsidRDefault="006574CE" w:rsidP="005C1295">
      <w:pPr>
        <w:spacing w:after="0" w:line="240" w:lineRule="auto"/>
        <w:ind w:left="-1134"/>
        <w:rPr>
          <w:rFonts w:ascii="PT Astra Serif" w:eastAsia="Times New Roman" w:hAnsi="PT Astra Serif" w:cs="Arial"/>
          <w:b/>
          <w:bCs/>
          <w:color w:val="2E3F51"/>
          <w:sz w:val="23"/>
          <w:lang w:eastAsia="ru-RU"/>
        </w:rPr>
      </w:pPr>
    </w:p>
    <w:p w:rsidR="005C1295" w:rsidRPr="005C1295" w:rsidRDefault="005C1295" w:rsidP="005C1295">
      <w:pPr>
        <w:spacing w:after="0" w:line="240" w:lineRule="auto"/>
        <w:ind w:left="-1134"/>
        <w:rPr>
          <w:rFonts w:ascii="PT Astra Serif" w:eastAsia="Times New Roman" w:hAnsi="PT Astra Serif" w:cs="Arial"/>
          <w:color w:val="333333"/>
          <w:sz w:val="21"/>
          <w:szCs w:val="21"/>
          <w:lang w:eastAsia="ru-RU"/>
        </w:rPr>
      </w:pPr>
      <w:proofErr w:type="spellStart"/>
      <w:r w:rsidRPr="005C1295">
        <w:rPr>
          <w:rFonts w:ascii="PT Astra Serif" w:eastAsia="Times New Roman" w:hAnsi="PT Astra Serif" w:cs="Arial"/>
          <w:b/>
          <w:bCs/>
          <w:color w:val="2E3F51"/>
          <w:sz w:val="23"/>
          <w:lang w:eastAsia="ru-RU"/>
        </w:rPr>
        <w:t>Диаскинтест</w:t>
      </w:r>
      <w:proofErr w:type="spellEnd"/>
      <w:r w:rsidRPr="005C1295">
        <w:rPr>
          <w:rFonts w:ascii="PT Astra Serif" w:eastAsia="Times New Roman" w:hAnsi="PT Astra Serif" w:cs="Arial"/>
          <w:b/>
          <w:bCs/>
          <w:color w:val="2E3F51"/>
          <w:sz w:val="23"/>
          <w:lang w:eastAsia="ru-RU"/>
        </w:rPr>
        <w:t xml:space="preserve"> - препарат для диагностики туберкулеза.</w:t>
      </w:r>
    </w:p>
    <w:p w:rsidR="005C1295" w:rsidRPr="005C1295" w:rsidRDefault="005C1295" w:rsidP="005C1295">
      <w:pPr>
        <w:spacing w:after="45" w:line="240" w:lineRule="auto"/>
        <w:ind w:left="-1134"/>
        <w:outlineLvl w:val="1"/>
        <w:rPr>
          <w:rFonts w:ascii="PT Astra Serif" w:eastAsia="Times New Roman" w:hAnsi="PT Astra Serif" w:cs="Arial"/>
          <w:b/>
          <w:bCs/>
          <w:color w:val="2E3F51"/>
          <w:sz w:val="23"/>
          <w:szCs w:val="23"/>
          <w:lang w:eastAsia="ru-RU"/>
        </w:rPr>
      </w:pPr>
      <w:r w:rsidRPr="005C1295">
        <w:rPr>
          <w:rFonts w:ascii="PT Astra Serif" w:eastAsia="Times New Roman" w:hAnsi="PT Astra Serif" w:cs="Arial"/>
          <w:b/>
          <w:bCs/>
          <w:color w:val="2E3F51"/>
          <w:sz w:val="23"/>
          <w:szCs w:val="23"/>
          <w:lang w:eastAsia="ru-RU"/>
        </w:rPr>
        <w:t>Фармакологическое действие</w:t>
      </w:r>
    </w:p>
    <w:p w:rsidR="005C1295" w:rsidRPr="005C1295" w:rsidRDefault="005C1295" w:rsidP="005C1295">
      <w:pPr>
        <w:spacing w:before="75" w:after="75" w:line="240" w:lineRule="auto"/>
        <w:ind w:left="-1134"/>
        <w:jc w:val="both"/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</w:pPr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Аллерген туберкулезный </w:t>
      </w:r>
      <w:proofErr w:type="spellStart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рекомбинантный</w:t>
      </w:r>
      <w:proofErr w:type="spellEnd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 в стандартном разведении. Представляет собой </w:t>
      </w:r>
      <w:proofErr w:type="spellStart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рекомбинантный</w:t>
      </w:r>
      <w:proofErr w:type="spellEnd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 белок, продуцируемый генетически модифицированной культурой </w:t>
      </w:r>
      <w:proofErr w:type="spellStart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Escherichia</w:t>
      </w:r>
      <w:proofErr w:type="spellEnd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coli</w:t>
      </w:r>
      <w:proofErr w:type="spellEnd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 BL21(DE3)/</w:t>
      </w:r>
      <w:proofErr w:type="spellStart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pCFP-ESAT</w:t>
      </w:r>
      <w:proofErr w:type="spellEnd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. Содержит 2 антигена, присутствующие в вирулентных штаммах микобактерий туберкулеза и отсутствующие в вакцинном штамме БЦЖ.</w:t>
      </w:r>
    </w:p>
    <w:p w:rsidR="005C1295" w:rsidRPr="005C1295" w:rsidRDefault="005C1295" w:rsidP="005C1295">
      <w:pPr>
        <w:spacing w:before="75" w:after="75" w:line="240" w:lineRule="auto"/>
        <w:ind w:left="-1134"/>
        <w:jc w:val="both"/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</w:pPr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Действие препарата </w:t>
      </w:r>
      <w:proofErr w:type="spellStart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Диаскинтест</w:t>
      </w:r>
      <w:proofErr w:type="spellEnd"/>
      <w:r w:rsidRPr="005C1295">
        <w:rPr>
          <w:rFonts w:ascii="PT Astra Serif" w:eastAsia="Times New Roman" w:hAnsi="PT Astra Serif" w:cs="Arial"/>
          <w:color w:val="333333"/>
          <w:sz w:val="20"/>
          <w:szCs w:val="20"/>
          <w:vertAlign w:val="superscript"/>
          <w:lang w:eastAsia="ru-RU"/>
        </w:rPr>
        <w:t>®</w:t>
      </w:r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 основано на выявлении клеточного иммунного ответа на специфические для </w:t>
      </w:r>
      <w:proofErr w:type="spellStart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Mycobacterium</w:t>
      </w:r>
      <w:proofErr w:type="spellEnd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tuberculosis</w:t>
      </w:r>
      <w:proofErr w:type="spellEnd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 антигены. При внутрикожном введении </w:t>
      </w:r>
      <w:proofErr w:type="spellStart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Диаскинтест</w:t>
      </w:r>
      <w:proofErr w:type="spellEnd"/>
      <w:r w:rsidRPr="005C1295">
        <w:rPr>
          <w:rFonts w:ascii="PT Astra Serif" w:eastAsia="Times New Roman" w:hAnsi="PT Astra Serif" w:cs="Arial"/>
          <w:color w:val="333333"/>
          <w:sz w:val="20"/>
          <w:szCs w:val="20"/>
          <w:vertAlign w:val="superscript"/>
          <w:lang w:eastAsia="ru-RU"/>
        </w:rPr>
        <w:t>®</w:t>
      </w:r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 вызывает у лиц с туберкулезной инфекцией специфическую кожную реакцию, являющуюся проявлением гиперчувствительности замедленного типа.</w:t>
      </w:r>
    </w:p>
    <w:p w:rsidR="005C1295" w:rsidRPr="005C1295" w:rsidRDefault="005C1295" w:rsidP="005C1295">
      <w:pPr>
        <w:spacing w:after="45" w:line="240" w:lineRule="auto"/>
        <w:ind w:left="-1134"/>
        <w:jc w:val="both"/>
        <w:outlineLvl w:val="1"/>
        <w:rPr>
          <w:rFonts w:ascii="PT Astra Serif" w:eastAsia="Times New Roman" w:hAnsi="PT Astra Serif" w:cs="Arial"/>
          <w:b/>
          <w:bCs/>
          <w:color w:val="2E3F51"/>
          <w:sz w:val="23"/>
          <w:szCs w:val="23"/>
          <w:lang w:eastAsia="ru-RU"/>
        </w:rPr>
      </w:pPr>
      <w:r w:rsidRPr="005C1295">
        <w:rPr>
          <w:rFonts w:ascii="PT Astra Serif" w:eastAsia="Times New Roman" w:hAnsi="PT Astra Serif" w:cs="Arial"/>
          <w:b/>
          <w:bCs/>
          <w:color w:val="2E3F51"/>
          <w:sz w:val="23"/>
          <w:szCs w:val="23"/>
          <w:lang w:eastAsia="ru-RU"/>
        </w:rPr>
        <w:t xml:space="preserve">Показания препарата </w:t>
      </w:r>
      <w:proofErr w:type="spellStart"/>
      <w:r w:rsidRPr="005C1295">
        <w:rPr>
          <w:rFonts w:ascii="PT Astra Serif" w:eastAsia="Times New Roman" w:hAnsi="PT Astra Serif" w:cs="Arial"/>
          <w:b/>
          <w:bCs/>
          <w:color w:val="2E3F51"/>
          <w:sz w:val="23"/>
          <w:szCs w:val="23"/>
          <w:lang w:eastAsia="ru-RU"/>
        </w:rPr>
        <w:t>Диаскинтест</w:t>
      </w:r>
      <w:proofErr w:type="spellEnd"/>
      <w:r w:rsidRPr="005C1295">
        <w:rPr>
          <w:rFonts w:ascii="PT Astra Serif" w:eastAsia="Times New Roman" w:hAnsi="PT Astra Serif" w:cs="Arial"/>
          <w:b/>
          <w:bCs/>
          <w:color w:val="2E3F51"/>
          <w:sz w:val="23"/>
          <w:szCs w:val="23"/>
          <w:vertAlign w:val="superscript"/>
          <w:lang w:eastAsia="ru-RU"/>
        </w:rPr>
        <w:t>®</w:t>
      </w:r>
    </w:p>
    <w:p w:rsidR="005C1295" w:rsidRPr="005C1295" w:rsidRDefault="005C1295" w:rsidP="005C1295">
      <w:pPr>
        <w:spacing w:before="75" w:after="75" w:line="240" w:lineRule="auto"/>
        <w:ind w:left="-1134"/>
        <w:jc w:val="both"/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</w:pPr>
      <w:proofErr w:type="gramStart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Предназначен</w:t>
      </w:r>
      <w:proofErr w:type="gramEnd"/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 для постановки внутрикожной пробы во всех возрастных группах с целью диагностики туберкулеза.</w:t>
      </w:r>
    </w:p>
    <w:p w:rsidR="005C1295" w:rsidRPr="005C1295" w:rsidRDefault="005C1295" w:rsidP="005C1295">
      <w:pPr>
        <w:spacing w:after="45" w:line="240" w:lineRule="auto"/>
        <w:ind w:left="-1134"/>
        <w:jc w:val="both"/>
        <w:outlineLvl w:val="1"/>
        <w:rPr>
          <w:rFonts w:ascii="PT Astra Serif" w:eastAsia="Times New Roman" w:hAnsi="PT Astra Serif" w:cs="Arial"/>
          <w:b/>
          <w:bCs/>
          <w:color w:val="2E3F51"/>
          <w:sz w:val="23"/>
          <w:szCs w:val="23"/>
          <w:lang w:eastAsia="ru-RU"/>
        </w:rPr>
      </w:pPr>
      <w:r w:rsidRPr="005C1295">
        <w:rPr>
          <w:rFonts w:ascii="PT Astra Serif" w:eastAsia="Times New Roman" w:hAnsi="PT Astra Serif" w:cs="Arial"/>
          <w:b/>
          <w:bCs/>
          <w:color w:val="2E3F51"/>
          <w:sz w:val="23"/>
          <w:szCs w:val="23"/>
          <w:lang w:eastAsia="ru-RU"/>
        </w:rPr>
        <w:t>Побочное действие</w:t>
      </w:r>
    </w:p>
    <w:p w:rsidR="005C1295" w:rsidRPr="005C1295" w:rsidRDefault="005C1295" w:rsidP="005C1295">
      <w:pPr>
        <w:spacing w:after="0" w:line="240" w:lineRule="auto"/>
        <w:ind w:left="-1134"/>
        <w:jc w:val="both"/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</w:pPr>
      <w:r w:rsidRPr="005C1295">
        <w:rPr>
          <w:rFonts w:ascii="PT Astra Serif" w:eastAsia="Times New Roman" w:hAnsi="PT Astra Serif" w:cs="Arial"/>
          <w:i/>
          <w:iCs/>
          <w:color w:val="333333"/>
          <w:sz w:val="20"/>
          <w:szCs w:val="20"/>
          <w:lang w:eastAsia="ru-RU"/>
        </w:rPr>
        <w:t>Общие реакции:</w:t>
      </w:r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 в отдельных случаях кратковременно - недомогание, головная боль, повышение температуры тела.</w:t>
      </w:r>
    </w:p>
    <w:p w:rsidR="005C1295" w:rsidRDefault="005C1295" w:rsidP="005C1295">
      <w:pPr>
        <w:spacing w:after="45" w:line="240" w:lineRule="auto"/>
        <w:ind w:left="-1134"/>
        <w:jc w:val="both"/>
        <w:outlineLvl w:val="1"/>
        <w:rPr>
          <w:rFonts w:ascii="PT Astra Serif" w:eastAsia="Times New Roman" w:hAnsi="PT Astra Serif" w:cs="Arial"/>
          <w:b/>
          <w:bCs/>
          <w:color w:val="2E3F51"/>
          <w:sz w:val="23"/>
          <w:szCs w:val="23"/>
          <w:lang w:eastAsia="ru-RU"/>
        </w:rPr>
      </w:pPr>
      <w:r w:rsidRPr="005C1295">
        <w:rPr>
          <w:rFonts w:ascii="PT Astra Serif" w:eastAsia="Times New Roman" w:hAnsi="PT Astra Serif" w:cs="Arial"/>
          <w:b/>
          <w:bCs/>
          <w:color w:val="2E3F51"/>
          <w:sz w:val="23"/>
          <w:szCs w:val="23"/>
          <w:lang w:eastAsia="ru-RU"/>
        </w:rPr>
        <w:t>Противопоказания к применению</w:t>
      </w:r>
    </w:p>
    <w:p w:rsidR="005C1295" w:rsidRDefault="005C1295" w:rsidP="005C1295">
      <w:pPr>
        <w:spacing w:after="45" w:line="240" w:lineRule="auto"/>
        <w:ind w:left="-1134"/>
        <w:jc w:val="both"/>
        <w:outlineLvl w:val="1"/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- </w:t>
      </w:r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острые и хронические (в период обострения) инфекционные заболевания, за исключением случаев подозрительных на туберкулез;</w:t>
      </w:r>
    </w:p>
    <w:p w:rsidR="005C1295" w:rsidRDefault="005C1295" w:rsidP="005C1295">
      <w:pPr>
        <w:spacing w:after="45" w:line="240" w:lineRule="auto"/>
        <w:ind w:left="-1134"/>
        <w:jc w:val="both"/>
        <w:outlineLvl w:val="1"/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- </w:t>
      </w:r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соматические и другие заболевания в период обострения;</w:t>
      </w:r>
    </w:p>
    <w:p w:rsidR="005C1295" w:rsidRDefault="005C1295" w:rsidP="005C1295">
      <w:pPr>
        <w:spacing w:after="45" w:line="240" w:lineRule="auto"/>
        <w:ind w:left="-1134"/>
        <w:jc w:val="both"/>
        <w:outlineLvl w:val="1"/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- </w:t>
      </w:r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распространенные кожные заболевания;</w:t>
      </w:r>
    </w:p>
    <w:p w:rsidR="005C1295" w:rsidRPr="005C1295" w:rsidRDefault="005C1295" w:rsidP="005C1295">
      <w:pPr>
        <w:spacing w:after="45" w:line="240" w:lineRule="auto"/>
        <w:ind w:left="-1134"/>
        <w:jc w:val="both"/>
        <w:outlineLvl w:val="1"/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 xml:space="preserve">- </w:t>
      </w:r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аллергические состояния.</w:t>
      </w:r>
    </w:p>
    <w:p w:rsidR="005C1295" w:rsidRPr="005C1295" w:rsidRDefault="005C1295" w:rsidP="005C1295">
      <w:pPr>
        <w:spacing w:before="75" w:after="75" w:line="240" w:lineRule="auto"/>
        <w:ind w:left="-1134"/>
        <w:jc w:val="both"/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</w:pPr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В детских коллективах, где имеется карантин по детским инфекциям, проба проводится только после снятия карантина.</w:t>
      </w:r>
    </w:p>
    <w:p w:rsidR="005C1295" w:rsidRPr="005C1295" w:rsidRDefault="005C1295" w:rsidP="005C1295">
      <w:pPr>
        <w:spacing w:after="45" w:line="240" w:lineRule="auto"/>
        <w:ind w:left="-1134"/>
        <w:jc w:val="both"/>
        <w:outlineLvl w:val="1"/>
        <w:rPr>
          <w:rFonts w:ascii="PT Astra Serif" w:eastAsia="Times New Roman" w:hAnsi="PT Astra Serif" w:cs="Arial"/>
          <w:b/>
          <w:bCs/>
          <w:color w:val="2E3F51"/>
          <w:sz w:val="23"/>
          <w:szCs w:val="23"/>
          <w:lang w:eastAsia="ru-RU"/>
        </w:rPr>
      </w:pPr>
      <w:r w:rsidRPr="005C1295">
        <w:rPr>
          <w:rFonts w:ascii="PT Astra Serif" w:eastAsia="Times New Roman" w:hAnsi="PT Astra Serif" w:cs="Arial"/>
          <w:b/>
          <w:bCs/>
          <w:color w:val="2E3F51"/>
          <w:sz w:val="23"/>
          <w:szCs w:val="23"/>
          <w:lang w:eastAsia="ru-RU"/>
        </w:rPr>
        <w:t>Особые указания</w:t>
      </w:r>
    </w:p>
    <w:p w:rsidR="005C1295" w:rsidRPr="005C1295" w:rsidRDefault="005C1295" w:rsidP="005C1295">
      <w:pPr>
        <w:spacing w:after="0" w:line="240" w:lineRule="auto"/>
        <w:ind w:left="-1134"/>
        <w:jc w:val="both"/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</w:pPr>
      <w:r w:rsidRPr="005C1295">
        <w:rPr>
          <w:rFonts w:ascii="PT Astra Serif" w:eastAsia="Times New Roman" w:hAnsi="PT Astra Serif" w:cs="Arial"/>
          <w:color w:val="333333"/>
          <w:sz w:val="20"/>
          <w:szCs w:val="20"/>
          <w:lang w:eastAsia="ru-RU"/>
        </w:rPr>
        <w:t>Здоровым лицам с отрицательным результатом пробы профилактические прививки (кроме БЦЖ) можно проводить непосредственно после оценки и учета результата пробы.</w:t>
      </w:r>
    </w:p>
    <w:p w:rsidR="005C1295" w:rsidRDefault="0092383A" w:rsidP="0092383A">
      <w:pPr>
        <w:spacing w:before="75" w:after="75" w:line="240" w:lineRule="auto"/>
        <w:ind w:hanging="1134"/>
        <w:rPr>
          <w:rFonts w:ascii="PT Astra Serif" w:eastAsia="Times New Roman" w:hAnsi="PT Astra Serif" w:cs="Arial"/>
          <w:b/>
          <w:bCs/>
          <w:color w:val="2E3F51"/>
          <w:sz w:val="24"/>
          <w:szCs w:val="24"/>
          <w:lang w:eastAsia="ru-RU"/>
        </w:rPr>
      </w:pPr>
      <w:r w:rsidRPr="0092383A">
        <w:rPr>
          <w:rFonts w:ascii="PT Astra Serif" w:eastAsia="Times New Roman" w:hAnsi="PT Astra Serif" w:cs="Arial"/>
          <w:b/>
          <w:bCs/>
          <w:color w:val="2E3F51"/>
          <w:sz w:val="24"/>
          <w:szCs w:val="24"/>
          <w:lang w:eastAsia="ru-RU"/>
        </w:rPr>
        <w:t xml:space="preserve"> Производитель:</w:t>
      </w:r>
      <w:r>
        <w:rPr>
          <w:rFonts w:ascii="PT Astra Serif" w:eastAsia="Times New Roman" w:hAnsi="PT Astra Serif" w:cs="Arial"/>
          <w:b/>
          <w:bCs/>
          <w:color w:val="2E3F51"/>
          <w:sz w:val="24"/>
          <w:szCs w:val="24"/>
          <w:lang w:eastAsia="ru-RU"/>
        </w:rPr>
        <w:t xml:space="preserve"> </w:t>
      </w:r>
      <w:r w:rsidRPr="0092383A">
        <w:rPr>
          <w:rFonts w:ascii="PT Astra Serif" w:eastAsia="Times New Roman" w:hAnsi="PT Astra Serif" w:cs="Arial"/>
          <w:b/>
          <w:bCs/>
          <w:color w:val="2E3F51"/>
          <w:sz w:val="24"/>
          <w:szCs w:val="24"/>
          <w:highlight w:val="yellow"/>
          <w:lang w:eastAsia="ru-RU"/>
        </w:rPr>
        <w:t>АО «ГЕНЕРИУМ», Россия</w:t>
      </w:r>
    </w:p>
    <w:p w:rsidR="000617EA" w:rsidRDefault="000617EA" w:rsidP="000617EA">
      <w:pPr>
        <w:pStyle w:val="a4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rFonts w:ascii="PT Astra Serif" w:hAnsi="PT Astra Serif"/>
          <w:highlight w:val="yellow"/>
        </w:rPr>
      </w:pPr>
    </w:p>
    <w:p w:rsidR="000617EA" w:rsidRPr="00467F38" w:rsidRDefault="000617EA" w:rsidP="000617EA">
      <w:pPr>
        <w:pStyle w:val="a4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rFonts w:ascii="PT Astra Serif" w:hAnsi="PT Astra Serif"/>
        </w:rPr>
      </w:pPr>
      <w:r w:rsidRPr="00467F38">
        <w:rPr>
          <w:rFonts w:ascii="PT Astra Serif" w:hAnsi="PT Astra Serif"/>
          <w:highlight w:val="yellow"/>
        </w:rPr>
        <w:t xml:space="preserve">По всем возникающим вопросам о </w:t>
      </w:r>
      <w:r>
        <w:rPr>
          <w:rFonts w:ascii="PT Astra Serif" w:hAnsi="PT Astra Serif"/>
          <w:highlight w:val="yellow"/>
        </w:rPr>
        <w:t xml:space="preserve"> проведении иммунодиагностики туберкулеза, нежелательных</w:t>
      </w:r>
      <w:r w:rsidRPr="00467F38">
        <w:rPr>
          <w:rFonts w:ascii="PT Astra Serif" w:hAnsi="PT Astra Serif"/>
          <w:highlight w:val="yellow"/>
          <w:shd w:val="clear" w:color="auto" w:fill="FFFFFF"/>
        </w:rPr>
        <w:t xml:space="preserve"> реакциях и осложнениях, а также последствиях отказа от проведения </w:t>
      </w:r>
      <w:r>
        <w:rPr>
          <w:rFonts w:ascii="PT Astra Serif" w:hAnsi="PT Astra Serif"/>
          <w:highlight w:val="yellow"/>
          <w:shd w:val="clear" w:color="auto" w:fill="FFFFFF"/>
        </w:rPr>
        <w:t>иммунодиагностики</w:t>
      </w:r>
      <w:r w:rsidRPr="00467F38">
        <w:rPr>
          <w:rFonts w:ascii="PT Astra Serif" w:hAnsi="PT Astra Serif"/>
          <w:highlight w:val="yellow"/>
          <w:shd w:val="clear" w:color="auto" w:fill="FFFFFF"/>
        </w:rPr>
        <w:t xml:space="preserve"> </w:t>
      </w:r>
      <w:r w:rsidRPr="00467F38">
        <w:rPr>
          <w:rFonts w:ascii="PT Astra Serif" w:hAnsi="PT Astra Serif"/>
          <w:highlight w:val="yellow"/>
        </w:rPr>
        <w:t xml:space="preserve">Вы можете получить информацию </w:t>
      </w:r>
      <w:r w:rsidRPr="00467F38">
        <w:rPr>
          <w:rFonts w:ascii="PT Astra Serif" w:hAnsi="PT Astra Serif"/>
          <w:b/>
          <w:highlight w:val="yellow"/>
        </w:rPr>
        <w:t>у  медицинского работника образовательного учреждения</w:t>
      </w:r>
      <w:r>
        <w:rPr>
          <w:rFonts w:ascii="PT Astra Serif" w:hAnsi="PT Astra Serif"/>
          <w:b/>
        </w:rPr>
        <w:t>.</w:t>
      </w:r>
    </w:p>
    <w:p w:rsidR="0063566F" w:rsidRDefault="0063566F" w:rsidP="0063566F">
      <w:pPr>
        <w:pStyle w:val="a4"/>
        <w:shd w:val="clear" w:color="auto" w:fill="FFFFFF"/>
        <w:spacing w:before="0" w:beforeAutospacing="0" w:after="0" w:afterAutospacing="0"/>
        <w:ind w:hanging="1134"/>
        <w:textAlignment w:val="baseline"/>
        <w:rPr>
          <w:rFonts w:ascii="PT Astra Serif" w:hAnsi="PT Astra Serif"/>
          <w:sz w:val="20"/>
          <w:szCs w:val="20"/>
        </w:rPr>
      </w:pPr>
    </w:p>
    <w:p w:rsidR="000617EA" w:rsidRDefault="000617EA" w:rsidP="0063566F">
      <w:pPr>
        <w:pStyle w:val="a4"/>
        <w:shd w:val="clear" w:color="auto" w:fill="FFFFFF"/>
        <w:spacing w:before="0" w:beforeAutospacing="0" w:after="0" w:afterAutospacing="0"/>
        <w:ind w:hanging="1134"/>
        <w:textAlignment w:val="baseline"/>
        <w:rPr>
          <w:rFonts w:ascii="PT Astra Serif" w:hAnsi="PT Astra Serif"/>
          <w:sz w:val="20"/>
          <w:szCs w:val="20"/>
        </w:rPr>
      </w:pPr>
    </w:p>
    <w:p w:rsidR="0063566F" w:rsidRPr="00BA1445" w:rsidRDefault="0063566F" w:rsidP="0063566F">
      <w:pPr>
        <w:pStyle w:val="a4"/>
        <w:shd w:val="clear" w:color="auto" w:fill="FFFFFF"/>
        <w:spacing w:before="0" w:beforeAutospacing="0" w:after="0" w:afterAutospacing="0"/>
        <w:ind w:hanging="1134"/>
        <w:textAlignment w:val="baseline"/>
        <w:rPr>
          <w:rFonts w:ascii="PT Astra Serif" w:hAnsi="PT Astra Serif"/>
          <w:sz w:val="20"/>
          <w:szCs w:val="20"/>
        </w:rPr>
      </w:pPr>
      <w:r w:rsidRPr="00BA1445">
        <w:rPr>
          <w:rFonts w:ascii="PT Astra Serif" w:hAnsi="PT Astra Serif"/>
          <w:sz w:val="20"/>
          <w:szCs w:val="20"/>
        </w:rPr>
        <w:t>С памяткой ознакомлен:</w:t>
      </w:r>
      <w:r>
        <w:rPr>
          <w:rFonts w:ascii="PT Astra Serif" w:hAnsi="PT Astra Serif"/>
          <w:sz w:val="20"/>
          <w:szCs w:val="20"/>
        </w:rPr>
        <w:t xml:space="preserve"> «_____»______________202</w:t>
      </w:r>
      <w:r w:rsidR="000C3A05">
        <w:rPr>
          <w:rFonts w:ascii="PT Astra Serif" w:hAnsi="PT Astra Serif"/>
          <w:sz w:val="20"/>
          <w:szCs w:val="20"/>
        </w:rPr>
        <w:t>4</w:t>
      </w:r>
      <w:r>
        <w:rPr>
          <w:rFonts w:ascii="PT Astra Serif" w:hAnsi="PT Astra Serif"/>
          <w:sz w:val="20"/>
          <w:szCs w:val="20"/>
        </w:rPr>
        <w:t xml:space="preserve"> г      ___ _____________ </w:t>
      </w:r>
      <w:r w:rsidRPr="00BA1445">
        <w:rPr>
          <w:rFonts w:ascii="PT Astra Serif" w:hAnsi="PT Astra Serif"/>
          <w:sz w:val="20"/>
          <w:szCs w:val="20"/>
        </w:rPr>
        <w:t>______</w:t>
      </w:r>
      <w:r>
        <w:rPr>
          <w:rFonts w:ascii="PT Astra Serif" w:hAnsi="PT Astra Serif"/>
          <w:sz w:val="20"/>
          <w:szCs w:val="20"/>
        </w:rPr>
        <w:t>___________      __</w:t>
      </w:r>
      <w:r w:rsidRPr="00BA1445">
        <w:rPr>
          <w:rFonts w:ascii="PT Astra Serif" w:hAnsi="PT Astra Serif"/>
          <w:sz w:val="20"/>
          <w:szCs w:val="20"/>
        </w:rPr>
        <w:t>_____________</w:t>
      </w:r>
    </w:p>
    <w:p w:rsidR="0063566F" w:rsidRPr="00BA1445" w:rsidRDefault="0063566F" w:rsidP="0063566F">
      <w:pPr>
        <w:pStyle w:val="a4"/>
        <w:shd w:val="clear" w:color="auto" w:fill="FFFFFF"/>
        <w:spacing w:before="0" w:beforeAutospacing="0" w:after="0" w:afterAutospacing="0"/>
        <w:ind w:hanging="1134"/>
        <w:textAlignment w:val="baseline"/>
        <w:rPr>
          <w:rFonts w:ascii="PT Astra Serif" w:hAnsi="PT Astra Serif"/>
          <w:sz w:val="20"/>
          <w:szCs w:val="20"/>
        </w:rPr>
      </w:pPr>
      <w:r w:rsidRPr="00BA1445">
        <w:rPr>
          <w:rFonts w:ascii="PT Astra Serif" w:hAnsi="PT Astra Serif"/>
          <w:sz w:val="20"/>
          <w:szCs w:val="20"/>
        </w:rPr>
        <w:t xml:space="preserve">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Дата                                            </w:t>
      </w:r>
      <w:r w:rsidRPr="00BA1445">
        <w:rPr>
          <w:rFonts w:ascii="PT Astra Serif" w:hAnsi="PT Astra Serif"/>
          <w:sz w:val="20"/>
          <w:szCs w:val="20"/>
        </w:rPr>
        <w:t xml:space="preserve">Ф.И.О.  законного представителя            </w:t>
      </w:r>
      <w:r>
        <w:rPr>
          <w:rFonts w:ascii="PT Astra Serif" w:hAnsi="PT Astra Serif"/>
          <w:sz w:val="20"/>
          <w:szCs w:val="20"/>
        </w:rPr>
        <w:t xml:space="preserve">    </w:t>
      </w:r>
      <w:r w:rsidRPr="00BA1445">
        <w:rPr>
          <w:rFonts w:ascii="PT Astra Serif" w:hAnsi="PT Astra Serif"/>
          <w:sz w:val="20"/>
          <w:szCs w:val="20"/>
        </w:rPr>
        <w:t xml:space="preserve"> Подпись</w:t>
      </w:r>
    </w:p>
    <w:p w:rsidR="0092383A" w:rsidRDefault="0092383A" w:rsidP="0063566F">
      <w:pPr>
        <w:spacing w:before="75" w:after="75" w:line="240" w:lineRule="auto"/>
        <w:ind w:hanging="1134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63566F" w:rsidRPr="0092383A" w:rsidRDefault="0063566F" w:rsidP="0092383A">
      <w:pPr>
        <w:spacing w:before="75" w:after="75" w:line="240" w:lineRule="auto"/>
        <w:ind w:hanging="1134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F1325C" w:rsidRDefault="00F1325C"/>
    <w:sectPr w:rsidR="00F1325C" w:rsidSect="005C12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CA6"/>
    <w:multiLevelType w:val="multilevel"/>
    <w:tmpl w:val="0C0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87F8E"/>
    <w:multiLevelType w:val="multilevel"/>
    <w:tmpl w:val="8CC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B4319"/>
    <w:multiLevelType w:val="multilevel"/>
    <w:tmpl w:val="B462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0273E"/>
    <w:multiLevelType w:val="multilevel"/>
    <w:tmpl w:val="A716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95"/>
    <w:rsid w:val="000617EA"/>
    <w:rsid w:val="000C3A05"/>
    <w:rsid w:val="003D54EF"/>
    <w:rsid w:val="005C1295"/>
    <w:rsid w:val="0063566F"/>
    <w:rsid w:val="006574CE"/>
    <w:rsid w:val="0092383A"/>
    <w:rsid w:val="009249C4"/>
    <w:rsid w:val="00C4700F"/>
    <w:rsid w:val="00C73216"/>
    <w:rsid w:val="00CE037D"/>
    <w:rsid w:val="00E12B35"/>
    <w:rsid w:val="00F1325C"/>
    <w:rsid w:val="00FD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5C"/>
  </w:style>
  <w:style w:type="paragraph" w:styleId="2">
    <w:name w:val="heading 2"/>
    <w:basedOn w:val="a"/>
    <w:link w:val="20"/>
    <w:uiPriority w:val="9"/>
    <w:qFormat/>
    <w:rsid w:val="005C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ck-head">
    <w:name w:val="block-head"/>
    <w:basedOn w:val="a0"/>
    <w:rsid w:val="005C1295"/>
  </w:style>
  <w:style w:type="character" w:customStyle="1" w:styleId="block-content">
    <w:name w:val="block-content"/>
    <w:basedOn w:val="a0"/>
    <w:rsid w:val="005C1295"/>
  </w:style>
  <w:style w:type="character" w:styleId="a3">
    <w:name w:val="Hyperlink"/>
    <w:basedOn w:val="a0"/>
    <w:uiPriority w:val="99"/>
    <w:semiHidden/>
    <w:unhideWhenUsed/>
    <w:rsid w:val="005C12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3b9843e">
    <w:name w:val="y23b9843e"/>
    <w:basedOn w:val="a0"/>
    <w:rsid w:val="005C1295"/>
  </w:style>
  <w:style w:type="paragraph" w:styleId="a5">
    <w:name w:val="Balloon Text"/>
    <w:basedOn w:val="a"/>
    <w:link w:val="a6"/>
    <w:uiPriority w:val="99"/>
    <w:semiHidden/>
    <w:unhideWhenUsed/>
    <w:rsid w:val="005C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465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48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60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170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2940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59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98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0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94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4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4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60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96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034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43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85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40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3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82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728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361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591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30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48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404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24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1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19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5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9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94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5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5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99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74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97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161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99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2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44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20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68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0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68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6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919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819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350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44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33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166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91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89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31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66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966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927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255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10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28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95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4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61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15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45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89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12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6011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3300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248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351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721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296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8977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1877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5263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809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10</cp:revision>
  <dcterms:created xsi:type="dcterms:W3CDTF">2023-10-07T06:05:00Z</dcterms:created>
  <dcterms:modified xsi:type="dcterms:W3CDTF">2024-01-25T10:51:00Z</dcterms:modified>
</cp:coreProperties>
</file>